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Propaganda Techniques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Definition of p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ropaganda: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Information, especially of a biased or misleading nature, used to promote or publicize a particular political cause or point of view.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Propaganda Techniques: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Name calling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where an attack is made by calling the opposition names.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Glittering generalities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using values (love of family, pride of country, etc) to motivate action.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Testimonial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using an “authority” to recommend or endorse something.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Bandwagon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the ‘everyone is doing it, you should too’ approach.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Transfer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attaching something unrelated to the argument to distract from the real issue.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Plain Folks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showing ordinary people benefitting from the idea/product/etc.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Fear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scaring someone into supporting the position or product.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Faulty Logic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this could be a long list but includes things such as misrepresenting data, making untrue comparisons, assuming a positive outcome without evidence, etc.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Communist Revolution Propaganda Imagery: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color red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Images of farming &amp; agriculture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Images of lots of food during the Great Leap Forward (a time of great famine)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Happy &amp; healthy people during the Great Leap Forward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Images of Mao Zedong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Mao Zedong presented as a god like figure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Mao portrayed as a man in touch with the people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Proletarian, working class images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Star, sickle and hammer = communist imagery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Red Guards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Little Red Book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